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350F" w:rsidRDefault="0048350F">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rsidR="0048350F" w:rsidRDefault="00CA0E10">
      <w:pPr>
        <w:keepNext/>
        <w:jc w:val="left"/>
        <w:rPr>
          <w:rFonts w:ascii="Arial" w:eastAsia="Arial" w:hAnsi="Arial"/>
          <w:b/>
          <w:sz w:val="36"/>
          <w:szCs w:val="36"/>
        </w:rPr>
      </w:pPr>
      <w:r>
        <w:rPr>
          <w:rFonts w:ascii="Arial" w:eastAsia="Arial" w:hAnsi="Arial"/>
          <w:b/>
          <w:sz w:val="36"/>
          <w:szCs w:val="36"/>
        </w:rPr>
        <w:t>Call-Off Schedule 16 (Benchmarking)</w:t>
      </w:r>
    </w:p>
    <w:p w:rsidR="0048350F" w:rsidRDefault="00CA0E10">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48350F" w:rsidRDefault="00CA0E10">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48350F">
        <w:tc>
          <w:tcPr>
            <w:tcW w:w="2900" w:type="dxa"/>
            <w:shd w:val="clear" w:color="auto" w:fill="auto"/>
          </w:tcPr>
          <w:p w:rsidR="0048350F" w:rsidRDefault="00CA0E1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rsidR="0048350F" w:rsidRDefault="00CA0E1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48350F">
        <w:tc>
          <w:tcPr>
            <w:tcW w:w="2900" w:type="dxa"/>
            <w:shd w:val="clear" w:color="auto" w:fill="auto"/>
          </w:tcPr>
          <w:p w:rsidR="0048350F" w:rsidRDefault="00CA0E1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rsidR="0048350F" w:rsidRDefault="00CA0E1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48350F">
        <w:tc>
          <w:tcPr>
            <w:tcW w:w="2900" w:type="dxa"/>
            <w:shd w:val="clear" w:color="auto" w:fill="auto"/>
          </w:tcPr>
          <w:p w:rsidR="0048350F" w:rsidRDefault="00CA0E1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rsidR="0048350F" w:rsidRDefault="00CA0E1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48350F">
        <w:tc>
          <w:tcPr>
            <w:tcW w:w="2900" w:type="dxa"/>
            <w:shd w:val="clear" w:color="auto" w:fill="auto"/>
          </w:tcPr>
          <w:p w:rsidR="0048350F" w:rsidRDefault="00CA0E1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rsidR="0048350F" w:rsidRDefault="00CA0E1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olor w:val="000000"/>
                <w:sz w:val="24"/>
                <w:szCs w:val="24"/>
              </w:rPr>
              <w:t>Supplier shall propose an approach for developing a comparable Deliverables benchmark;</w:t>
            </w:r>
          </w:p>
        </w:tc>
      </w:tr>
      <w:tr w:rsidR="0048350F">
        <w:tc>
          <w:tcPr>
            <w:tcW w:w="2900" w:type="dxa"/>
            <w:shd w:val="clear" w:color="auto" w:fill="auto"/>
          </w:tcPr>
          <w:p w:rsidR="0048350F" w:rsidRDefault="00CA0E1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rsidR="0048350F" w:rsidRDefault="00CA0E1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w:t>
            </w:r>
            <w:r>
              <w:rPr>
                <w:rFonts w:ascii="Arial" w:eastAsia="Arial" w:hAnsi="Arial"/>
                <w:color w:val="000000"/>
                <w:sz w:val="24"/>
                <w:szCs w:val="24"/>
              </w:rPr>
              <w:t xml:space="preserve"> which are similarly structured in terms of their business and their service offering so as to be fair comparators with the Supplier or which, are best practice organisations;</w:t>
            </w:r>
          </w:p>
        </w:tc>
      </w:tr>
      <w:tr w:rsidR="0048350F">
        <w:tc>
          <w:tcPr>
            <w:tcW w:w="2900" w:type="dxa"/>
            <w:shd w:val="clear" w:color="auto" w:fill="auto"/>
          </w:tcPr>
          <w:p w:rsidR="0048350F" w:rsidRDefault="00CA0E1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rsidR="0048350F" w:rsidRDefault="00CA0E1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data derived from an analysis of the Comparable Rates and/or </w:t>
            </w:r>
            <w:r>
              <w:rPr>
                <w:rFonts w:ascii="Arial" w:eastAsia="Arial" w:hAnsi="Arial"/>
                <w:color w:val="000000"/>
                <w:sz w:val="24"/>
                <w:szCs w:val="24"/>
              </w:rPr>
              <w:t>the Comparable Deliverables (as applicable) provided by the Comparison Group;</w:t>
            </w:r>
          </w:p>
        </w:tc>
      </w:tr>
      <w:tr w:rsidR="0048350F">
        <w:tc>
          <w:tcPr>
            <w:tcW w:w="2900" w:type="dxa"/>
            <w:shd w:val="clear" w:color="auto" w:fill="auto"/>
          </w:tcPr>
          <w:p w:rsidR="0048350F" w:rsidRDefault="00CA0E1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rsidR="0048350F" w:rsidRDefault="00CA0E1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48350F">
        <w:tc>
          <w:tcPr>
            <w:tcW w:w="2900" w:type="dxa"/>
            <w:shd w:val="clear" w:color="auto" w:fill="auto"/>
          </w:tcPr>
          <w:p w:rsidR="0048350F" w:rsidRDefault="00CA0E1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w:t>
            </w:r>
            <w:bookmarkStart w:id="0" w:name="_GoBack"/>
            <w:bookmarkEnd w:id="0"/>
            <w:r>
              <w:rPr>
                <w:rFonts w:ascii="Arial" w:eastAsia="Arial" w:hAnsi="Arial"/>
                <w:b/>
                <w:color w:val="000000"/>
                <w:sz w:val="24"/>
                <w:szCs w:val="24"/>
              </w:rPr>
              <w:t>le"</w:t>
            </w:r>
          </w:p>
        </w:tc>
        <w:tc>
          <w:tcPr>
            <w:tcW w:w="5142" w:type="dxa"/>
            <w:shd w:val="clear" w:color="auto" w:fill="auto"/>
          </w:tcPr>
          <w:p w:rsidR="0048350F" w:rsidRDefault="00CA0E1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w:t>
            </w:r>
            <w:r>
              <w:rPr>
                <w:rFonts w:ascii="Arial" w:eastAsia="Arial" w:hAnsi="Arial"/>
                <w:color w:val="000000"/>
                <w:sz w:val="24"/>
                <w:szCs w:val="24"/>
              </w:rPr>
              <w:t>eliverables.</w:t>
            </w:r>
          </w:p>
        </w:tc>
      </w:tr>
    </w:tbl>
    <w:p w:rsidR="0048350F" w:rsidRDefault="00CA0E10">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48350F" w:rsidRDefault="00CA0E1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rsidR="0048350F" w:rsidRDefault="00CA0E1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w:t>
      </w:r>
      <w:r>
        <w:rPr>
          <w:rFonts w:ascii="Arial" w:eastAsia="Arial" w:hAnsi="Arial"/>
          <w:color w:val="000000"/>
          <w:sz w:val="24"/>
          <w:szCs w:val="24"/>
        </w:rPr>
        <w:t>graphs 3 of this Schedule.</w:t>
      </w:r>
    </w:p>
    <w:p w:rsidR="0048350F" w:rsidRDefault="00CA0E1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rsidR="0048350F" w:rsidRDefault="00CA0E10">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48350F" w:rsidRDefault="00CA0E10">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rsidR="0048350F" w:rsidRDefault="00CA0E1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48350F" w:rsidRDefault="00CA0E1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w:t>
      </w:r>
      <w:r>
        <w:rPr>
          <w:rFonts w:ascii="Arial" w:eastAsia="Arial" w:hAnsi="Arial"/>
          <w:color w:val="000000"/>
          <w:sz w:val="24"/>
          <w:szCs w:val="24"/>
        </w:rPr>
        <w:t>mark Review of any or all of the Deliverables.</w:t>
      </w:r>
    </w:p>
    <w:p w:rsidR="0048350F" w:rsidRDefault="00CA0E1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shall not be entitled to request a Benchmark Review during the first six (6) Month period from the Contract Commencement Date or at intervals of less than twelve (12) Months after any previous Benchm</w:t>
      </w:r>
      <w:r>
        <w:rPr>
          <w:rFonts w:ascii="Arial" w:eastAsia="Arial" w:hAnsi="Arial"/>
          <w:color w:val="000000"/>
          <w:sz w:val="24"/>
          <w:szCs w:val="24"/>
        </w:rPr>
        <w:t xml:space="preserve">ark Review. </w:t>
      </w:r>
    </w:p>
    <w:p w:rsidR="0048350F" w:rsidRDefault="00CA0E1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rsidR="0048350F" w:rsidRDefault="00CA0E1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w:t>
      </w:r>
      <w:r>
        <w:rPr>
          <w:rFonts w:ascii="Arial" w:eastAsia="Arial" w:hAnsi="Arial"/>
          <w:color w:val="000000"/>
          <w:sz w:val="24"/>
          <w:szCs w:val="24"/>
        </w:rPr>
        <w:t>g.</w:t>
      </w:r>
    </w:p>
    <w:p w:rsidR="0048350F" w:rsidRDefault="00CA0E1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The Supplier must approve the nomination within ten (10) Working Days unless the Supplier provides a reasonable explanation for rejecting the appointment.   If the appointm</w:t>
      </w:r>
      <w:r>
        <w:rPr>
          <w:rFonts w:ascii="Arial" w:eastAsia="Arial" w:hAnsi="Arial"/>
          <w:color w:val="000000"/>
          <w:sz w:val="24"/>
          <w:szCs w:val="24"/>
        </w:rPr>
        <w:t xml:space="preserve">ent is rejected then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Institute of Finan</w:t>
      </w:r>
      <w:r>
        <w:rPr>
          <w:rFonts w:ascii="Arial" w:eastAsia="Arial" w:hAnsi="Arial"/>
          <w:color w:val="000000"/>
          <w:sz w:val="24"/>
          <w:szCs w:val="24"/>
        </w:rPr>
        <w:t xml:space="preserve">cial Accountants. </w:t>
      </w:r>
    </w:p>
    <w:p w:rsidR="0048350F" w:rsidRDefault="00CA0E1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w:t>
      </w:r>
      <w:r>
        <w:rPr>
          <w:rFonts w:ascii="Arial" w:eastAsia="Arial" w:hAnsi="Arial"/>
          <w:color w:val="000000"/>
          <w:sz w:val="24"/>
          <w:szCs w:val="24"/>
        </w:rPr>
        <w:t xml:space="preserve"> Deliverables are not Good Value, in which case </w:t>
      </w:r>
      <w:r>
        <w:rPr>
          <w:rFonts w:ascii="Arial" w:eastAsia="Arial" w:hAnsi="Arial"/>
          <w:color w:val="000000"/>
          <w:sz w:val="24"/>
          <w:szCs w:val="24"/>
        </w:rPr>
        <w:lastRenderedPageBreak/>
        <w:t xml:space="preserve">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against the Supplier and the relevant portion shal</w:t>
      </w:r>
      <w:r>
        <w:rPr>
          <w:rFonts w:ascii="Arial" w:eastAsia="Arial" w:hAnsi="Arial"/>
          <w:color w:val="000000"/>
          <w:sz w:val="24"/>
          <w:szCs w:val="24"/>
        </w:rPr>
        <w:t>l be reimbursed by the Buyer.</w:t>
      </w:r>
    </w:p>
    <w:p w:rsidR="0048350F" w:rsidRDefault="00CA0E10">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rsidR="0048350F" w:rsidRDefault="00CA0E10">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rsidR="0048350F" w:rsidRDefault="00CA0E10">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48350F" w:rsidRDefault="00CA0E10">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48350F" w:rsidRDefault="00CA0E10">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 </w:t>
      </w:r>
    </w:p>
    <w:p w:rsidR="0048350F" w:rsidRDefault="00CA0E1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w:t>
      </w:r>
      <w:proofErr w:type="spellStart"/>
      <w:r>
        <w:rPr>
          <w:rFonts w:ascii="Arial" w:eastAsia="Arial" w:hAnsi="Arial"/>
          <w:color w:val="000000"/>
          <w:sz w:val="24"/>
          <w:szCs w:val="24"/>
        </w:rPr>
        <w:t>b</w:t>
      </w:r>
      <w:r>
        <w:rPr>
          <w:rFonts w:ascii="Arial" w:eastAsia="Arial" w:hAnsi="Arial"/>
          <w:color w:val="000000"/>
          <w:sz w:val="24"/>
          <w:szCs w:val="24"/>
        </w:rPr>
        <w:t>enchmarker</w:t>
      </w:r>
      <w:proofErr w:type="spellEnd"/>
      <w:r>
        <w:rPr>
          <w:rFonts w:ascii="Arial" w:eastAsia="Arial" w:hAnsi="Arial"/>
          <w:color w:val="000000"/>
          <w:sz w:val="24"/>
          <w:szCs w:val="24"/>
        </w:rPr>
        <w:t xml:space="preserve">, acting reasonably, shall be entitled to use any model to determine the achievement of value for money and to carry out the benchmarking. </w:t>
      </w:r>
    </w:p>
    <w:p w:rsidR="0048350F" w:rsidRDefault="00CA0E1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The Buyer must give notice in writing to the Supplier within ten (10) Working Days after receiving the dra</w:t>
      </w:r>
      <w:r>
        <w:rPr>
          <w:rFonts w:ascii="Arial" w:eastAsia="Arial" w:hAnsi="Arial"/>
          <w:color w:val="000000"/>
          <w:sz w:val="24"/>
          <w:szCs w:val="24"/>
        </w:rPr>
        <w:t xml:space="preserve">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w:t>
      </w:r>
      <w:r>
        <w:rPr>
          <w:rFonts w:ascii="Arial" w:eastAsia="Arial" w:hAnsi="Arial"/>
          <w:color w:val="000000"/>
          <w:sz w:val="24"/>
          <w:szCs w:val="24"/>
        </w:rPr>
        <w:t>n amended draft plan and this Paragraph 3.2.3 shall apply to any amended draft plan.</w:t>
      </w:r>
    </w:p>
    <w:p w:rsidR="0048350F" w:rsidRDefault="00CA0E1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rsidR="0048350F" w:rsidRDefault="00CA0E10">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rsidR="0048350F" w:rsidRDefault="00CA0E10">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rsidR="0048350F" w:rsidRDefault="00CA0E10">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rsidR="0048350F" w:rsidRDefault="00CA0E10">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r>
        <w:rPr>
          <w:rFonts w:ascii="Arial" w:eastAsia="Arial" w:hAnsi="Arial"/>
          <w:color w:val="000000"/>
          <w:sz w:val="24"/>
          <w:szCs w:val="24"/>
        </w:rPr>
        <w:t>’s</w:t>
      </w:r>
      <w:proofErr w:type="spellEnd"/>
      <w:r>
        <w:rPr>
          <w:rFonts w:ascii="Arial" w:eastAsia="Arial" w:hAnsi="Arial"/>
          <w:color w:val="000000"/>
          <w:sz w:val="24"/>
          <w:szCs w:val="24"/>
        </w:rPr>
        <w:t xml:space="preserve"> own data and experience;</w:t>
      </w:r>
    </w:p>
    <w:p w:rsidR="0048350F" w:rsidRDefault="00CA0E10">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rsidR="0048350F" w:rsidRDefault="00CA0E10">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pursuant to Paragraph </w:t>
      </w:r>
      <w:proofErr w:type="gramStart"/>
      <w:r>
        <w:rPr>
          <w:rFonts w:ascii="Arial" w:eastAsia="Arial" w:hAnsi="Arial"/>
          <w:color w:val="000000"/>
          <w:sz w:val="24"/>
          <w:szCs w:val="24"/>
        </w:rPr>
        <w:t>3.2.6  below</w:t>
      </w:r>
      <w:proofErr w:type="gramEnd"/>
      <w:r>
        <w:rPr>
          <w:rFonts w:ascii="Arial" w:eastAsia="Arial" w:hAnsi="Arial"/>
          <w:color w:val="000000"/>
          <w:sz w:val="24"/>
          <w:szCs w:val="24"/>
        </w:rPr>
        <w:t>, information from other suppliers or purchasers on Comparable Rates;</w:t>
      </w:r>
    </w:p>
    <w:p w:rsidR="0048350F" w:rsidRDefault="00CA0E10">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w:t>
      </w:r>
      <w:r>
        <w:rPr>
          <w:rFonts w:ascii="Arial" w:eastAsia="Arial" w:hAnsi="Arial"/>
          <w:color w:val="000000"/>
          <w:sz w:val="24"/>
          <w:szCs w:val="24"/>
        </w:rPr>
        <w:t xml:space="preserve"> Comparable Rates, derive the Equivalent Data;</w:t>
      </w:r>
    </w:p>
    <w:p w:rsidR="0048350F" w:rsidRDefault="00CA0E10">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using the Equivalent Data, calculate the Upper Quartile;</w:t>
      </w:r>
    </w:p>
    <w:p w:rsidR="0048350F" w:rsidRDefault="00CA0E10">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rsidR="0048350F" w:rsidRDefault="00CA0E1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w:t>
      </w:r>
      <w:r>
        <w:rPr>
          <w:rFonts w:ascii="Arial" w:eastAsia="Arial" w:hAnsi="Arial"/>
          <w:color w:val="000000"/>
          <w:sz w:val="24"/>
          <w:szCs w:val="24"/>
        </w:rPr>
        <w:t>s or purchasers on Comparable Rates.</w:t>
      </w:r>
    </w:p>
    <w:p w:rsidR="0048350F" w:rsidRDefault="00CA0E10">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w:t>
      </w:r>
      <w:r>
        <w:rPr>
          <w:rFonts w:ascii="Arial" w:eastAsia="Arial" w:hAnsi="Arial"/>
          <w:color w:val="000000"/>
          <w:sz w:val="24"/>
          <w:szCs w:val="24"/>
        </w:rPr>
        <w:t xml:space="preserve"> Data:</w:t>
      </w:r>
    </w:p>
    <w:p w:rsidR="0048350F" w:rsidRDefault="00CA0E10">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48350F" w:rsidRDefault="00CA0E10">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rsidR="0048350F" w:rsidRDefault="00CA0E10">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w:t>
      </w:r>
      <w:r>
        <w:rPr>
          <w:rFonts w:ascii="Arial" w:eastAsia="Arial" w:hAnsi="Arial"/>
          <w:color w:val="000000"/>
          <w:sz w:val="24"/>
          <w:szCs w:val="24"/>
        </w:rPr>
        <w:t xml:space="preserve"> taken into consideration, could unfairly cause the Supplier's pricing to appear non-competitive.</w:t>
      </w:r>
    </w:p>
    <w:p w:rsidR="0048350F" w:rsidRDefault="00CA0E10">
      <w:pPr>
        <w:keepNext/>
        <w:numPr>
          <w:ilvl w:val="1"/>
          <w:numId w:val="1"/>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rsidR="0048350F" w:rsidRDefault="00CA0E1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rsidR="0048350F" w:rsidRDefault="00CA0E10">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w:t>
      </w:r>
      <w:r>
        <w:rPr>
          <w:rFonts w:ascii="Arial" w:eastAsia="Arial" w:hAnsi="Arial"/>
          <w:color w:val="000000"/>
          <w:sz w:val="24"/>
          <w:szCs w:val="24"/>
        </w:rPr>
        <w:t>t to Paragraph 3.2.3, setting out its findings.  Those findings shall be required to:</w:t>
      </w:r>
    </w:p>
    <w:p w:rsidR="0048350F" w:rsidRDefault="00CA0E10">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48350F" w:rsidRDefault="00CA0E10">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48350F" w:rsidRDefault="00CA0E10">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w:t>
      </w:r>
      <w:r>
        <w:rPr>
          <w:rFonts w:ascii="Arial" w:eastAsia="Arial" w:hAnsi="Arial"/>
          <w:color w:val="000000"/>
          <w:sz w:val="24"/>
          <w:szCs w:val="24"/>
        </w:rPr>
        <w:t>ansparency so that the Party requesting the Benchmarking can interpret and understand how the Supplier has calculated whether or not the Benchmarked Deliverables are, individually or as a whole, Good Value.</w:t>
      </w:r>
    </w:p>
    <w:p w:rsidR="0048350F" w:rsidRDefault="00CA0E1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sectPr w:rsidR="0048350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 xml:space="preserve">The Parties agree that any changes required to this Contract identified in the Benchmarking Report shall be implemented at </w:t>
      </w:r>
      <w:r>
        <w:rPr>
          <w:rFonts w:ascii="Arial" w:eastAsia="Arial" w:hAnsi="Arial"/>
          <w:color w:val="000000"/>
          <w:sz w:val="24"/>
          <w:szCs w:val="24"/>
        </w:rPr>
        <w:lastRenderedPageBreak/>
        <w:t>the direction of the Buyer in accordance with Clause 24 (Changing the contract).</w:t>
      </w:r>
    </w:p>
    <w:p w:rsidR="0048350F" w:rsidRDefault="0048350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sectPr w:rsidR="0048350F">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0E10" w:rsidRDefault="00CA0E10">
      <w:pPr>
        <w:spacing w:after="0"/>
      </w:pPr>
      <w:r>
        <w:separator/>
      </w:r>
    </w:p>
  </w:endnote>
  <w:endnote w:type="continuationSeparator" w:id="0">
    <w:p w:rsidR="00CA0E10" w:rsidRDefault="00CA0E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50F" w:rsidRDefault="0048350F">
    <w:pPr>
      <w:tabs>
        <w:tab w:val="center" w:pos="4513"/>
        <w:tab w:val="right" w:pos="9026"/>
      </w:tabs>
      <w:spacing w:after="0"/>
      <w:rPr>
        <w:rFonts w:ascii="Arial" w:eastAsia="Arial" w:hAnsi="Arial"/>
        <w:sz w:val="20"/>
        <w:szCs w:val="20"/>
      </w:rPr>
    </w:pPr>
  </w:p>
  <w:p w:rsidR="0048350F" w:rsidRDefault="00CA0E10">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C4664C">
      <w:rPr>
        <w:rFonts w:ascii="Arial" w:eastAsia="Arial" w:hAnsi="Arial"/>
        <w:sz w:val="20"/>
        <w:szCs w:val="20"/>
      </w:rPr>
      <w:t>6325</w:t>
    </w:r>
  </w:p>
  <w:p w:rsidR="0048350F" w:rsidRDefault="00CA0E1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C4664C">
      <w:rPr>
        <w:rFonts w:ascii="Arial" w:eastAsia="Arial" w:hAnsi="Arial"/>
        <w:color w:val="000000"/>
        <w:sz w:val="20"/>
        <w:szCs w:val="20"/>
      </w:rPr>
      <w:fldChar w:fldCharType="separate"/>
    </w:r>
    <w:r w:rsidR="00C4664C">
      <w:rPr>
        <w:rFonts w:ascii="Arial" w:eastAsia="Arial" w:hAnsi="Arial"/>
        <w:noProof/>
        <w:color w:val="000000"/>
        <w:sz w:val="20"/>
        <w:szCs w:val="20"/>
      </w:rPr>
      <w:t>1</w:t>
    </w:r>
    <w:r>
      <w:rPr>
        <w:rFonts w:ascii="Arial" w:eastAsia="Arial" w:hAnsi="Arial"/>
        <w:color w:val="000000"/>
        <w:sz w:val="20"/>
        <w:szCs w:val="20"/>
      </w:rPr>
      <w:fldChar w:fldCharType="end"/>
    </w:r>
  </w:p>
  <w:p w:rsidR="0048350F" w:rsidRDefault="00CA0E10">
    <w:pPr>
      <w:tabs>
        <w:tab w:val="center" w:pos="4513"/>
        <w:tab w:val="right" w:pos="9026"/>
      </w:tabs>
      <w:spacing w:after="0"/>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50F" w:rsidRDefault="00CA0E10">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48350F" w:rsidRDefault="00CA0E1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48350F" w:rsidRDefault="00CA0E10">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0E10" w:rsidRDefault="00CA0E10">
      <w:pPr>
        <w:spacing w:after="0"/>
      </w:pPr>
      <w:r>
        <w:separator/>
      </w:r>
    </w:p>
  </w:footnote>
  <w:footnote w:type="continuationSeparator" w:id="0">
    <w:p w:rsidR="00CA0E10" w:rsidRDefault="00CA0E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50F" w:rsidRDefault="00CA0E1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48350F" w:rsidRDefault="00CA0E1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48350F" w:rsidRDefault="00CA0E1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rsidR="0048350F" w:rsidRDefault="0048350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50F" w:rsidRDefault="00CA0E10">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5271F3"/>
    <w:multiLevelType w:val="multilevel"/>
    <w:tmpl w:val="8D44D338"/>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F3779CC"/>
    <w:multiLevelType w:val="multilevel"/>
    <w:tmpl w:val="9E80174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50F"/>
    <w:rsid w:val="0048350F"/>
    <w:rsid w:val="00C4664C"/>
    <w:rsid w:val="00CA0E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306D9"/>
  <w15:docId w15:val="{8C86C5FB-C261-4A23-A1F7-1204CD8A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SE1HGS5cl2dxGvgKVkiQj2/FvA==">AMUW2mWvvaVv2iCuarm8rhenik80spXLijrv5mnP7zskcR9vDlTFveeUqdeKl/eZ2ql6pDthlYaqkI5ulE7Q+wL3fSqx3e5fH+Yf4/VR+aBCDKwc2q7UbBZbGa8nSQ5WDFleXqjIp57kyByFTICGiWkidEa18VyRNTGd+mW5JBlDQu3CxC3u0pw6gqBVcUzmJPdHfDwgD4qK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1226</Words>
  <Characters>6991</Characters>
  <Application>Microsoft Office Word</Application>
  <DocSecurity>0</DocSecurity>
  <Lines>58</Lines>
  <Paragraphs>16</Paragraphs>
  <ScaleCrop>false</ScaleCrop>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 Kowe</cp:lastModifiedBy>
  <cp:revision>2</cp:revision>
  <dcterms:created xsi:type="dcterms:W3CDTF">2018-07-23T07:42:00Z</dcterms:created>
  <dcterms:modified xsi:type="dcterms:W3CDTF">2023-08-24T10:41:00Z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